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Calibri"/>
          <w:b/>
          <w:color w:val="242021"/>
          <w:sz w:val="28"/>
          <w:szCs w:val="28"/>
        </w:rPr>
      </w:pPr>
      <w:r>
        <w:rPr>
          <w:rFonts w:eastAsia="Calibri"/>
          <w:b/>
          <w:color w:val="242021"/>
          <w:sz w:val="28"/>
          <w:szCs w:val="28"/>
        </w:rPr>
        <w:t xml:space="preserve">                                     </w:t>
      </w:r>
    </w:p>
    <w:p>
      <w:pPr>
        <w:pStyle w:val="Normal"/>
        <w:rPr>
          <w:rFonts w:eastAsia="Calibri"/>
          <w:b/>
          <w:color w:val="242021"/>
          <w:sz w:val="28"/>
          <w:szCs w:val="28"/>
        </w:rPr>
      </w:pPr>
      <w:r>
        <w:rPr>
          <w:rFonts w:eastAsia="Calibri"/>
          <w:b/>
          <w:color w:val="242021"/>
          <w:sz w:val="28"/>
          <w:szCs w:val="28"/>
        </w:rPr>
      </w:r>
    </w:p>
    <w:p>
      <w:pPr>
        <w:pStyle w:val="Normal"/>
        <w:rPr>
          <w:rFonts w:eastAsia="Calibri"/>
          <w:b/>
          <w:color w:val="242021"/>
          <w:sz w:val="28"/>
          <w:szCs w:val="28"/>
        </w:rPr>
      </w:pPr>
      <w:r>
        <w:rPr>
          <w:rFonts w:eastAsia="Calibri"/>
          <w:b/>
          <w:color w:val="242021"/>
          <w:sz w:val="28"/>
          <w:szCs w:val="28"/>
        </w:rPr>
        <w:t xml:space="preserve">                                    </w:t>
      </w:r>
    </w:p>
    <w:p>
      <w:pPr>
        <w:pStyle w:val="Normal"/>
        <w:rPr>
          <w:rFonts w:eastAsia="Calibri"/>
          <w:b/>
          <w:color w:val="242021"/>
          <w:sz w:val="28"/>
          <w:szCs w:val="28"/>
        </w:rPr>
      </w:pPr>
      <w:r>
        <w:rPr>
          <w:rFonts w:eastAsia="Calibri"/>
          <w:b/>
          <w:color w:val="242021"/>
          <w:sz w:val="28"/>
          <w:szCs w:val="28"/>
        </w:rPr>
      </w:r>
    </w:p>
    <w:p>
      <w:pPr>
        <w:pStyle w:val="Normal"/>
        <w:rPr>
          <w:rFonts w:eastAsia="Calibri"/>
          <w:b/>
          <w:color w:val="242021"/>
          <w:sz w:val="28"/>
          <w:szCs w:val="28"/>
        </w:rPr>
      </w:pPr>
      <w:r>
        <w:rPr>
          <w:rFonts w:eastAsia="Calibri"/>
          <w:b/>
          <w:color w:val="242021"/>
          <w:sz w:val="28"/>
          <w:szCs w:val="28"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  <w:t>RELATÓRIO DO MÊS DE MARCO DE 2023</w:t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No mês de março a Santa Casa de Caridade de Formiga funcionou com lotação máxima.</w:t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Clínica cirúrgica com lotação de 180% (cento e oitenta por cento)</w:t>
      </w:r>
      <w:r>
        <w:rPr>
          <w:b/>
          <w:bCs/>
        </w:rPr>
        <w:t xml:space="preserve">, </w:t>
      </w:r>
      <w:r>
        <w:rPr>
          <w:b w:val="false"/>
          <w:bCs w:val="false"/>
        </w:rPr>
        <w:t xml:space="preserve">clínica médica, maternidade e UTI Neonatal com lotação aproximada de 90% (noventa por cento) e quase 50 % (cinquenta por cento) no setor do Pronto Socorro e da Sala vermelha. </w:t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Destaca-se a elevada taxa de entrada de pacientes vaga 0, encaminhados pelo SAMU para a  sala vermelha da Santa Casa de Caridade de Formiga, o que contribui muito com o aumento para a taxa de ocupação hospitalar.</w:t>
        <w:tab/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ab/>
        <w:t>O  mês de mar</w:t>
      </w:r>
      <w:r>
        <w:rPr>
          <w:b w:val="false"/>
          <w:bCs w:val="false"/>
        </w:rPr>
        <w:t>ç</w:t>
      </w:r>
      <w:r>
        <w:rPr>
          <w:b w:val="false"/>
          <w:bCs w:val="false"/>
        </w:rPr>
        <w:t xml:space="preserve">o teve alto índice de transferências externas via SUS FÁCIL, convênio e particular devido alta taxa de ocupação hospitalar. </w:t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Para um maior entendimento vejamos tabelas e gráficos abaixo: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45"/>
        <w:gridCol w:w="2346"/>
        <w:gridCol w:w="2346"/>
        <w:gridCol w:w="2346"/>
      </w:tblGrid>
      <w:tr>
        <w:trPr>
          <w:trHeight w:val="255" w:hRule="atLeast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SETORES </w:t>
            </w:r>
          </w:p>
        </w:tc>
        <w:tc>
          <w:tcPr>
            <w:tcW w:w="2346" w:type="dxa"/>
            <w:tcBorders>
              <w:top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TAXA DE OCUPAÇÃO MENSAL</w:t>
            </w:r>
          </w:p>
        </w:tc>
        <w:tc>
          <w:tcPr>
            <w:tcW w:w="23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INTERNAÇÕES MENSAL</w:t>
            </w:r>
          </w:p>
        </w:tc>
        <w:tc>
          <w:tcPr>
            <w:tcW w:w="23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PACIENTE POR DIA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CLINICA CIRÚRGICA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180,66%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126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542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CLINICA MEDICA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84,66%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47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504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 xml:space="preserve">MATERNIDADE 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88,33%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159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265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PEDIATRIA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182%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51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164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PRONTO SOCORRO E SALA VERMELHA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44,16%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36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UTI ADULTO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113%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58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615</w:t>
            </w:r>
          </w:p>
        </w:tc>
      </w:tr>
      <w:tr>
        <w:trPr>
          <w:trHeight w:val="84" w:hRule="atLeast"/>
        </w:trPr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UTI NEONATAL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81,3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17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244</w:t>
            </w:r>
          </w:p>
        </w:tc>
      </w:tr>
    </w:tbl>
    <w:p>
      <w:pPr>
        <w:pStyle w:val="Corpodotexto"/>
        <w:rPr/>
      </w:pPr>
      <w:r>
        <w:rPr>
          <w:b/>
          <w:bCs/>
        </w:rPr>
        <w:t>Fonte:</w:t>
      </w:r>
      <w:r>
        <w:rPr/>
        <w:t xml:space="preserve"> Dados da pesquisa. </w:t>
      </w:r>
    </w:p>
    <w:p>
      <w:pPr>
        <w:pStyle w:val="Corpodotexto"/>
        <w:rPr/>
      </w:pPr>
      <w:r>
        <w:rPr/>
      </w:r>
    </w:p>
    <w:p>
      <w:pPr>
        <w:pStyle w:val="Corpodotexto"/>
        <w:jc w:val="center"/>
        <w:rPr>
          <w:b/>
          <w:bCs/>
        </w:rPr>
      </w:pPr>
      <w:r>
        <w:rPr/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  <w:t>GRÁFICO DE TAXA DE OCUPAÇÃO MENSAL – MÊS DE MARCO DE 2023.</w:t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431165</wp:posOffset>
            </wp:positionH>
            <wp:positionV relativeFrom="paragraph">
              <wp:posOffset>-17780</wp:posOffset>
            </wp:positionV>
            <wp:extent cx="5753735" cy="3239135"/>
            <wp:effectExtent l="0" t="0" r="0" b="0"/>
            <wp:wrapSquare wrapText="largest"/>
            <wp:docPr id="1" name="Objeto1" descr="gráfi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both"/>
        <w:rPr>
          <w:b/>
          <w:bCs/>
        </w:rPr>
      </w:pPr>
      <w:r>
        <w:rPr>
          <w:b/>
          <w:bCs/>
        </w:rPr>
        <w:t xml:space="preserve">Fonte: </w:t>
      </w:r>
      <w:r>
        <w:rPr>
          <w:b w:val="false"/>
          <w:bCs w:val="false"/>
        </w:rPr>
        <w:t xml:space="preserve">Dados da pesquisa. </w:t>
      </w:r>
    </w:p>
    <w:p>
      <w:pPr>
        <w:pStyle w:val="Corpodotexto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  <w:t>RELATÓRIO DO MÊS DE ABRIL DE 2023</w:t>
      </w:r>
    </w:p>
    <w:p>
      <w:pPr>
        <w:pStyle w:val="Normal"/>
        <w:jc w:val="both"/>
        <w:rPr>
          <w:b/>
          <w:bCs/>
        </w:rPr>
      </w:pPr>
      <w:r>
        <w:rPr>
          <w:b w:val="false"/>
          <w:bCs w:val="false"/>
        </w:rPr>
        <w:tab/>
        <w:t>No mês de abril a Santa Casa de Caridade de Formiga funcionou com lotação máxima.</w:t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Clínica cirúrgica com lotação de 156% (cento e cinquenta e seis por cento)</w:t>
      </w:r>
      <w:r>
        <w:rPr>
          <w:b/>
          <w:bCs/>
        </w:rPr>
        <w:t xml:space="preserve">, </w:t>
      </w:r>
      <w:r>
        <w:rPr>
          <w:b w:val="false"/>
          <w:bCs w:val="false"/>
        </w:rPr>
        <w:t xml:space="preserve">clínica médica, maternidade e UTI Neonatal com lotação aproximada de 90% (noventa por cento) e quase 50 % (cinquenta por cento) no setor do Pronto Socorro e da Sala vermelha. </w:t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Destaca-se a elevada taxa de entrada de pacientes vaga 0, encaminhados pelo SAMU para a sala vermelha da Santa Casa de Caridade de Formiga, o que contribui muito com o aumento para a taxa de ocupação hospitalar.</w:t>
        <w:tab/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ab/>
        <w:t xml:space="preserve">O  mês de abril teve alto índice de transferências externas via SUS FÁCIL, convênio e particular devido alta taxa de ocupação hospitalar. </w:t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Para um maior entendimento vejamos tabelas e gráficos abaixo: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45"/>
        <w:gridCol w:w="2346"/>
        <w:gridCol w:w="2346"/>
        <w:gridCol w:w="2346"/>
      </w:tblGrid>
      <w:tr>
        <w:trPr>
          <w:trHeight w:val="255" w:hRule="atLeast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SETORES </w:t>
            </w:r>
          </w:p>
        </w:tc>
        <w:tc>
          <w:tcPr>
            <w:tcW w:w="2346" w:type="dxa"/>
            <w:tcBorders>
              <w:top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TAXA DE OCUPAÇÃO MENSAL</w:t>
            </w:r>
          </w:p>
        </w:tc>
        <w:tc>
          <w:tcPr>
            <w:tcW w:w="23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INTERNAÇÕES MENSAIS</w:t>
            </w:r>
          </w:p>
        </w:tc>
        <w:tc>
          <w:tcPr>
            <w:tcW w:w="23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PACIENTE POR DIA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CLINICA CIRÚRGICA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156,66%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104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470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CLINICA MEDICA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83,5%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44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501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 xml:space="preserve">MATERNIDADE 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88,66%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141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266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PEDIATRIA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153,33%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23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138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PRONTO SOCORRO E SALA VERMELHA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40,83%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34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49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UTI ADULTO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100,37%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68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542</w:t>
            </w:r>
          </w:p>
        </w:tc>
      </w:tr>
      <w:tr>
        <w:trPr>
          <w:trHeight w:val="84" w:hRule="atLeast"/>
        </w:trPr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UTI NEONATAL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85,66%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257</w:t>
            </w:r>
          </w:p>
        </w:tc>
      </w:tr>
    </w:tbl>
    <w:p>
      <w:pPr>
        <w:pStyle w:val="Corpodotexto"/>
        <w:jc w:val="both"/>
        <w:rPr>
          <w:b/>
          <w:bCs/>
        </w:rPr>
      </w:pPr>
      <w:r>
        <w:rPr>
          <w:b/>
          <w:bCs/>
        </w:rPr>
        <w:t xml:space="preserve">Fonte: </w:t>
      </w:r>
      <w:r>
        <w:rPr>
          <w:b w:val="false"/>
          <w:bCs w:val="false"/>
        </w:rPr>
        <w:t xml:space="preserve">Dados da pesquisa. </w:t>
      </w:r>
    </w:p>
    <w:p>
      <w:pPr>
        <w:pStyle w:val="Corpodotexto"/>
        <w:jc w:val="center"/>
        <w:rPr/>
      </w:pPr>
      <w:r>
        <w:rPr>
          <w:b/>
          <w:bCs/>
        </w:rPr>
        <w:t>GRÁFICO DE TAXA DE OCUPAÇÃO MENSAL – MÊS DE ABRIL DE 2023</w:t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/>
      <w:r>
        <w:rPr>
          <w:b/>
          <w:bCs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126365</wp:posOffset>
            </wp:positionH>
            <wp:positionV relativeFrom="paragraph">
              <wp:posOffset>96520</wp:posOffset>
            </wp:positionV>
            <wp:extent cx="5925185" cy="3239135"/>
            <wp:effectExtent l="0" t="0" r="0" b="0"/>
            <wp:wrapSquare wrapText="largest"/>
            <wp:docPr id="2" name="Objeto2" descr="gráfi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  <w:t xml:space="preserve">                                                                               </w:t>
      </w:r>
    </w:p>
    <w:p>
      <w:pPr>
        <w:pStyle w:val="Corpodotexto"/>
        <w:jc w:val="both"/>
        <w:rPr>
          <w:b/>
          <w:bCs/>
        </w:rPr>
      </w:pPr>
      <w:r>
        <w:rPr>
          <w:b/>
          <w:bCs/>
        </w:rPr>
        <w:t xml:space="preserve">Fonte: </w:t>
      </w:r>
      <w:r>
        <w:rPr>
          <w:b w:val="false"/>
          <w:bCs w:val="false"/>
        </w:rPr>
        <w:t xml:space="preserve">Dados da pesquisa. </w:t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  <w:t>RELATÓRIO DO MÊS DE MAIO DE 2023</w:t>
      </w:r>
    </w:p>
    <w:p>
      <w:pPr>
        <w:pStyle w:val="Normal"/>
        <w:jc w:val="both"/>
        <w:rPr>
          <w:b/>
          <w:bCs/>
        </w:rPr>
      </w:pPr>
      <w:r>
        <w:rPr>
          <w:b w:val="false"/>
          <w:bCs w:val="false"/>
        </w:rPr>
        <w:tab/>
        <w:t>No mês de maio a Santa Casa de Caridade de Formiga funcionou com lotação máxima.</w:t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Clínica cirúrgica com lotação de 134% (cento e trinta e quatro por cento)</w:t>
      </w:r>
      <w:r>
        <w:rPr>
          <w:b/>
          <w:bCs/>
        </w:rPr>
        <w:t xml:space="preserve">, </w:t>
      </w:r>
      <w:r>
        <w:rPr>
          <w:b w:val="false"/>
          <w:bCs w:val="false"/>
        </w:rPr>
        <w:t xml:space="preserve">clínica médica, maternidade e UTI Neonatal com lotação aproximada de 90% (noventa por cento) e quase 50 % (cinquenta por cento) no setor do Pronto Socorro e da Sala vermelha. </w:t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Destaca-se a elevada taxa de entrada de pacientes vaga 0, encaminhados pelo SAMU para a sala vermelha da Santa Casa de Caridade de Formiga, o que contribui muito com o aumento para a taxa de ocupação hospitalar.</w:t>
        <w:tab/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ab/>
        <w:t xml:space="preserve">O mês de maio teve alto índice de transferências externas via SUS FÁCIL, convênio e particular devido alta taxa de ocupação hospitalar. </w:t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Para um maior entendimento vejamos tabelas e gráficos abaixo: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45"/>
        <w:gridCol w:w="2346"/>
        <w:gridCol w:w="2346"/>
        <w:gridCol w:w="2346"/>
      </w:tblGrid>
      <w:tr>
        <w:trPr>
          <w:trHeight w:val="255" w:hRule="atLeast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SETORES </w:t>
            </w:r>
          </w:p>
        </w:tc>
        <w:tc>
          <w:tcPr>
            <w:tcW w:w="2346" w:type="dxa"/>
            <w:tcBorders>
              <w:top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TAXA DE OCUPAÇÃO MENSAL</w:t>
            </w:r>
          </w:p>
        </w:tc>
        <w:tc>
          <w:tcPr>
            <w:tcW w:w="23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INTERNAÇÕES MENSAIS</w:t>
            </w:r>
          </w:p>
        </w:tc>
        <w:tc>
          <w:tcPr>
            <w:tcW w:w="23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PACIENTE POR DIA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CLINICA CIRÚRGICA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134,33%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403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CLINICA MEDICA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94,16%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66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565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 xml:space="preserve">MATERNIDADE 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80,33%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143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241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PEDIATRIA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165,55%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45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149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PRONTO SOCORRO E SALA VERMELHA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48,33%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30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58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UTI ADULTO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118,70%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55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641</w:t>
            </w:r>
          </w:p>
        </w:tc>
      </w:tr>
      <w:tr>
        <w:trPr>
          <w:trHeight w:val="84" w:hRule="atLeast"/>
        </w:trPr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UTI NEONATAL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73%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219</w:t>
            </w:r>
          </w:p>
        </w:tc>
      </w:tr>
    </w:tbl>
    <w:p>
      <w:pPr>
        <w:pStyle w:val="Corpodotex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</w:p>
    <w:p>
      <w:pPr>
        <w:pStyle w:val="Corpodotexto"/>
        <w:jc w:val="both"/>
        <w:rPr>
          <w:b/>
          <w:bCs/>
        </w:rPr>
      </w:pPr>
      <w:r>
        <w:rPr>
          <w:b/>
          <w:bCs/>
        </w:rPr>
        <w:t xml:space="preserve">Fonte: </w:t>
      </w:r>
      <w:r>
        <w:rPr>
          <w:b w:val="false"/>
          <w:bCs w:val="false"/>
        </w:rPr>
        <w:t xml:space="preserve">Dados da pesquisa. </w:t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/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  <w:t>GRÁFICO DE TAXA DE OCUPAÇÃO MENSAL – MÊS DE MAIO DE 2023</w:t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3239770"/>
            <wp:effectExtent l="0" t="0" r="0" b="0"/>
            <wp:wrapSquare wrapText="largest"/>
            <wp:docPr id="3" name="Objeto3" descr="gráfi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Corpodotexto"/>
        <w:jc w:val="both"/>
        <w:rPr>
          <w:b/>
          <w:bCs/>
        </w:rPr>
      </w:pPr>
      <w:r>
        <w:rPr>
          <w:b/>
          <w:bCs/>
        </w:rPr>
        <w:t xml:space="preserve">Fonte: </w:t>
      </w:r>
      <w:r>
        <w:rPr>
          <w:b w:val="false"/>
          <w:bCs w:val="false"/>
        </w:rPr>
        <w:t xml:space="preserve">Dados da pesquisa. </w:t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  <w:t>RELATÓRIO DO MÊS DE JUNHO DE 2023</w:t>
      </w:r>
    </w:p>
    <w:p>
      <w:pPr>
        <w:pStyle w:val="Normal"/>
        <w:jc w:val="both"/>
        <w:rPr>
          <w:b/>
          <w:bCs/>
        </w:rPr>
      </w:pPr>
      <w:r>
        <w:rPr>
          <w:b w:val="false"/>
          <w:bCs w:val="false"/>
        </w:rPr>
        <w:tab/>
        <w:t>No mês de junho a Santa Casa de Caridade de Formiga funcionou com lotação máxima.</w:t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Clínica cirúrgica com lotação de 165% (cento e sessenta e cinco por cento)</w:t>
      </w:r>
      <w:r>
        <w:rPr>
          <w:b/>
          <w:bCs/>
        </w:rPr>
        <w:t xml:space="preserve">, </w:t>
      </w:r>
      <w:r>
        <w:rPr>
          <w:b w:val="false"/>
          <w:bCs w:val="false"/>
        </w:rPr>
        <w:t xml:space="preserve">clínica médica, maternidade e UTI Neonatal com lotação aproximada de 90% (noventa por cento) e quase 50 % (cinquenta por cento) no setor do Pronto Socorro e da Sala vermelha. </w:t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Destaca-se a elevada taxa de entrada de pacientes vaga 0, encaminhados pelo SAMU para a sala vermelha da Santa Casa de Caridade de Formiga, o que contribui muito com o aumento para a taxa de ocupação hospitalar.</w:t>
        <w:tab/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ab/>
        <w:t xml:space="preserve">O mês de maio teve alto índice de transferências externas via SUS FÁCIL, convênio e particular devido alta taxa de ocupação hospitalar. </w:t>
      </w:r>
    </w:p>
    <w:p>
      <w:pPr>
        <w:pStyle w:val="Corpodotexto"/>
        <w:jc w:val="both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Para um maior entendimento vejamos tabelas e gráficos abaixo: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45"/>
        <w:gridCol w:w="2346"/>
        <w:gridCol w:w="2346"/>
        <w:gridCol w:w="2346"/>
      </w:tblGrid>
      <w:tr>
        <w:trPr>
          <w:trHeight w:val="255" w:hRule="atLeast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SETORES </w:t>
            </w:r>
          </w:p>
        </w:tc>
        <w:tc>
          <w:tcPr>
            <w:tcW w:w="2346" w:type="dxa"/>
            <w:tcBorders>
              <w:top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TAXA DE OCUPAÇÃO MENSAL</w:t>
            </w:r>
          </w:p>
        </w:tc>
        <w:tc>
          <w:tcPr>
            <w:tcW w:w="23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INTERNAÇÕES MENSAIS</w:t>
            </w:r>
          </w:p>
        </w:tc>
        <w:tc>
          <w:tcPr>
            <w:tcW w:w="23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PACIENTE POR DIA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CLINICA CIRÚRGICA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165%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91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495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CLINICA MEDICA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90,33%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47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542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 xml:space="preserve">MATERNIDADE 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87%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137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261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PEDIATRIA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117,77%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29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106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PRONTO SOCORRO E SALA VERMELHA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40%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34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UTI ADULTO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120%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69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648</w:t>
            </w:r>
          </w:p>
        </w:tc>
      </w:tr>
      <w:tr>
        <w:trPr>
          <w:trHeight w:val="84" w:hRule="atLeast"/>
        </w:trPr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  <w:t>UTI NEONATAL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46" w:type="dxa"/>
            <w:tcBorders>
              <w:bottom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79%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2346" w:type="dxa"/>
            <w:tcBorders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237</w:t>
            </w:r>
          </w:p>
        </w:tc>
      </w:tr>
    </w:tbl>
    <w:p>
      <w:pPr>
        <w:pStyle w:val="Corpodotexto"/>
        <w:jc w:val="both"/>
        <w:rPr>
          <w:b/>
          <w:bCs/>
        </w:rPr>
      </w:pPr>
      <w:r>
        <w:rPr/>
      </w:r>
    </w:p>
    <w:p>
      <w:pPr>
        <w:pStyle w:val="Corpodotexto"/>
        <w:jc w:val="both"/>
        <w:rPr>
          <w:b/>
          <w:bCs/>
        </w:rPr>
      </w:pPr>
      <w:r>
        <w:rPr>
          <w:b/>
          <w:bCs/>
        </w:rPr>
        <w:t xml:space="preserve">Fonte: </w:t>
      </w:r>
      <w:r>
        <w:rPr/>
        <w:t xml:space="preserve">Dados da pesquisa. </w:t>
      </w:r>
    </w:p>
    <w:p>
      <w:pPr>
        <w:pStyle w:val="Corpodotexto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otexto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otexto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otexto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otexto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otexto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otexto"/>
        <w:jc w:val="center"/>
        <w:rPr>
          <w:b/>
          <w:bCs/>
        </w:rPr>
      </w:pPr>
      <w:r>
        <w:rPr>
          <w:b/>
          <w:bCs/>
        </w:rPr>
        <w:t>GRÁFICO DE TAXA DE OCUPAÇÃO MENSAL – MÊS DE JUNHO DE 2023</w:t>
      </w:r>
    </w:p>
    <w:p>
      <w:pPr>
        <w:pStyle w:val="Corpodotexto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otexto"/>
        <w:spacing w:before="0" w:after="120"/>
        <w:jc w:val="both"/>
        <w:rPr>
          <w:b/>
          <w:bCs/>
        </w:rPr>
      </w:pPr>
      <w:r/>
      <w:r>
        <w:rPr>
          <w:b/>
          <w:bCs/>
        </w:rP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3239770"/>
            <wp:effectExtent l="0" t="0" r="0" b="0"/>
            <wp:wrapSquare wrapText="largest"/>
            <wp:docPr id="4" name="Objeto4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  <w:t xml:space="preserve">Fonte: </w:t>
      </w:r>
      <w:r>
        <w:rPr>
          <w:b w:val="false"/>
          <w:bCs w:val="false"/>
        </w:rPr>
        <w:t xml:space="preserve">Dados da pesquisa. </w:t>
      </w:r>
    </w:p>
    <w:sectPr>
      <w:headerReference w:type="default" r:id="rId6"/>
      <w:type w:val="nextPage"/>
      <w:pgSz w:w="11906" w:h="16838"/>
      <w:pgMar w:left="1416" w:right="1106" w:gutter="0" w:header="720" w:top="777" w:footer="0" w:bottom="1077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200025</wp:posOffset>
          </wp:positionH>
          <wp:positionV relativeFrom="paragraph">
            <wp:posOffset>114300</wp:posOffset>
          </wp:positionV>
          <wp:extent cx="5400675" cy="1133475"/>
          <wp:effectExtent l="0" t="0" r="0" b="0"/>
          <wp:wrapSquare wrapText="largest"/>
          <wp:docPr id="5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02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sid w:val="001202bb"/>
    <w:rPr/>
  </w:style>
  <w:style w:type="character" w:styleId="WW-Absatz-Standardschriftart" w:customStyle="1">
    <w:name w:val="WW-Absatz-Standardschriftart"/>
    <w:qFormat/>
    <w:rsid w:val="001202bb"/>
    <w:rPr/>
  </w:style>
  <w:style w:type="character" w:styleId="WW-Absatz-Standardschriftart1" w:customStyle="1">
    <w:name w:val="WW-Absatz-Standardschriftart1"/>
    <w:qFormat/>
    <w:rsid w:val="001202bb"/>
    <w:rPr/>
  </w:style>
  <w:style w:type="character" w:styleId="WW-Absatz-Standardschriftart11" w:customStyle="1">
    <w:name w:val="WW-Absatz-Standardschriftart11"/>
    <w:qFormat/>
    <w:rsid w:val="001202bb"/>
    <w:rPr/>
  </w:style>
  <w:style w:type="character" w:styleId="WW-Absatz-Standardschriftart111" w:customStyle="1">
    <w:name w:val="WW-Absatz-Standardschriftart111"/>
    <w:qFormat/>
    <w:rsid w:val="001202bb"/>
    <w:rPr/>
  </w:style>
  <w:style w:type="character" w:styleId="WW-Absatz-Standardschriftart1111" w:customStyle="1">
    <w:name w:val="WW-Absatz-Standardschriftart1111"/>
    <w:qFormat/>
    <w:rsid w:val="001202bb"/>
    <w:rPr/>
  </w:style>
  <w:style w:type="character" w:styleId="WW-Absatz-Standardschriftart11111" w:customStyle="1">
    <w:name w:val="WW-Absatz-Standardschriftart11111"/>
    <w:qFormat/>
    <w:rsid w:val="001202bb"/>
    <w:rPr/>
  </w:style>
  <w:style w:type="character" w:styleId="WW-Absatz-Standardschriftart111111" w:customStyle="1">
    <w:name w:val="WW-Absatz-Standardschriftart111111"/>
    <w:qFormat/>
    <w:rsid w:val="001202bb"/>
    <w:rPr/>
  </w:style>
  <w:style w:type="character" w:styleId="WW-Absatz-Standardschriftart1111111" w:customStyle="1">
    <w:name w:val="WW-Absatz-Standardschriftart1111111"/>
    <w:qFormat/>
    <w:rsid w:val="001202bb"/>
    <w:rPr/>
  </w:style>
  <w:style w:type="character" w:styleId="WW-Absatz-Standardschriftart11111111" w:customStyle="1">
    <w:name w:val="WW-Absatz-Standardschriftart11111111"/>
    <w:qFormat/>
    <w:rsid w:val="001202bb"/>
    <w:rPr/>
  </w:style>
  <w:style w:type="character" w:styleId="WW-Absatz-Standardschriftart111111111" w:customStyle="1">
    <w:name w:val="WW-Absatz-Standardschriftart111111111"/>
    <w:qFormat/>
    <w:rsid w:val="001202bb"/>
    <w:rPr/>
  </w:style>
  <w:style w:type="character" w:styleId="WW-Absatz-Standardschriftart1111111111" w:customStyle="1">
    <w:name w:val="WW-Absatz-Standardschriftart1111111111"/>
    <w:qFormat/>
    <w:rsid w:val="001202bb"/>
    <w:rPr/>
  </w:style>
  <w:style w:type="character" w:styleId="WW-Absatz-Standardschriftart11111111111" w:customStyle="1">
    <w:name w:val="WW-Absatz-Standardschriftart11111111111"/>
    <w:qFormat/>
    <w:rsid w:val="001202bb"/>
    <w:rPr/>
  </w:style>
  <w:style w:type="character" w:styleId="WW-Absatz-Standardschriftart111111111111" w:customStyle="1">
    <w:name w:val="WW-Absatz-Standardschriftart111111111111"/>
    <w:qFormat/>
    <w:rsid w:val="001202bb"/>
    <w:rPr/>
  </w:style>
  <w:style w:type="character" w:styleId="WW-Absatz-Standardschriftart1111111111111" w:customStyle="1">
    <w:name w:val="WW-Absatz-Standardschriftart1111111111111"/>
    <w:qFormat/>
    <w:rsid w:val="001202bb"/>
    <w:rPr/>
  </w:style>
  <w:style w:type="character" w:styleId="WW-Absatz-Standardschriftart11111111111111" w:customStyle="1">
    <w:name w:val="WW-Absatz-Standardschriftart11111111111111"/>
    <w:qFormat/>
    <w:rsid w:val="001202bb"/>
    <w:rPr/>
  </w:style>
  <w:style w:type="character" w:styleId="Fontepargpadro1" w:customStyle="1">
    <w:name w:val="Fonte parág. padrão1"/>
    <w:qFormat/>
    <w:rsid w:val="001202bb"/>
    <w:rPr/>
  </w:style>
  <w:style w:type="character" w:styleId="LinkdaInternet">
    <w:name w:val="Hyperlink"/>
    <w:rsid w:val="001202bb"/>
    <w:rPr>
      <w:color w:val="000080"/>
      <w:u w:val="single"/>
    </w:rPr>
  </w:style>
  <w:style w:type="character" w:styleId="Smbolosdenumerao" w:customStyle="1">
    <w:name w:val="Símbolos de numeração"/>
    <w:qFormat/>
    <w:rsid w:val="001202bb"/>
    <w:rPr/>
  </w:style>
  <w:style w:type="character" w:styleId="Strong">
    <w:name w:val="Strong"/>
    <w:qFormat/>
    <w:rsid w:val="001202bb"/>
    <w:rPr>
      <w:b/>
      <w:bCs/>
    </w:rPr>
  </w:style>
  <w:style w:type="character" w:styleId="Linkdainternetvisitado">
    <w:name w:val="FollowedHyperlink"/>
    <w:rsid w:val="001202bb"/>
    <w:rPr>
      <w:color w:val="800000"/>
      <w:u w:val="single"/>
    </w:rPr>
  </w:style>
  <w:style w:type="character" w:styleId="TextodebaloChar" w:customStyle="1">
    <w:name w:val="Texto de balão Char"/>
    <w:basedOn w:val="DefaultParagraphFont"/>
    <w:qFormat/>
    <w:rsid w:val="005a5b0e"/>
    <w:rPr>
      <w:rFonts w:ascii="Tahoma" w:hAnsi="Tahoma" w:cs="Tahoma"/>
      <w:sz w:val="16"/>
      <w:szCs w:val="16"/>
      <w:lang w:eastAsia="ar-SA"/>
    </w:rPr>
  </w:style>
  <w:style w:type="character" w:styleId="CabealhoChar" w:customStyle="1">
    <w:name w:val="Cabeçalho Char"/>
    <w:basedOn w:val="DefaultParagraphFont"/>
    <w:uiPriority w:val="99"/>
    <w:qFormat/>
    <w:rsid w:val="006e13b0"/>
    <w:rPr>
      <w:sz w:val="24"/>
      <w:szCs w:val="24"/>
      <w:lang w:eastAsia="ar-SA"/>
    </w:rPr>
  </w:style>
  <w:style w:type="character" w:styleId="RodapChar" w:customStyle="1">
    <w:name w:val="Rodapé Char"/>
    <w:basedOn w:val="DefaultParagraphFont"/>
    <w:qFormat/>
    <w:rsid w:val="006e13b0"/>
    <w:rPr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1202bb"/>
    <w:pPr>
      <w:spacing w:before="0" w:after="120"/>
    </w:pPr>
    <w:rPr/>
  </w:style>
  <w:style w:type="paragraph" w:styleId="Lista">
    <w:name w:val="List"/>
    <w:basedOn w:val="Corpodotexto"/>
    <w:rsid w:val="001202bb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202bb"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orpodotexto"/>
    <w:qFormat/>
    <w:rsid w:val="001202bb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1" w:customStyle="1">
    <w:name w:val="Legenda1"/>
    <w:basedOn w:val="Normal"/>
    <w:qFormat/>
    <w:rsid w:val="001202bb"/>
    <w:pPr>
      <w:suppressLineNumbers/>
      <w:spacing w:before="120" w:after="120"/>
    </w:pPr>
    <w:rPr>
      <w:rFonts w:cs="Mangal"/>
      <w:i/>
      <w:iCs/>
    </w:rPr>
  </w:style>
  <w:style w:type="paragraph" w:styleId="Contedodequadro" w:customStyle="1">
    <w:name w:val="Conteúdo de quadro"/>
    <w:basedOn w:val="Corpodotexto"/>
    <w:qFormat/>
    <w:rsid w:val="001202bb"/>
    <w:pPr/>
    <w:rPr/>
  </w:style>
  <w:style w:type="paragraph" w:styleId="Linhahorizontal" w:customStyle="1">
    <w:name w:val="Linha horizontal"/>
    <w:basedOn w:val="Normal"/>
    <w:next w:val="Corpodotexto"/>
    <w:qFormat/>
    <w:rsid w:val="001202bb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extoprformatado" w:customStyle="1">
    <w:name w:val="Texto préformatado"/>
    <w:basedOn w:val="Normal"/>
    <w:qFormat/>
    <w:rsid w:val="001202bb"/>
    <w:pPr/>
    <w:rPr>
      <w:rFonts w:ascii="Courier New" w:hAnsi="Courier New" w:eastAsia="NSimSun" w:cs="Courier New"/>
      <w:sz w:val="20"/>
      <w:szCs w:val="20"/>
    </w:rPr>
  </w:style>
  <w:style w:type="paragraph" w:styleId="Contedodetabela" w:customStyle="1">
    <w:name w:val="Conteúdo de tabela"/>
    <w:basedOn w:val="Normal"/>
    <w:qFormat/>
    <w:rsid w:val="001202bb"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rsid w:val="001202b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470dc"/>
    <w:pPr>
      <w:ind w:left="708" w:hanging="0"/>
    </w:pPr>
    <w:rPr/>
  </w:style>
  <w:style w:type="paragraph" w:styleId="NormalWeb">
    <w:name w:val="Normal (Web)"/>
    <w:basedOn w:val="Normal"/>
    <w:uiPriority w:val="99"/>
    <w:unhideWhenUsed/>
    <w:qFormat/>
    <w:rsid w:val="00c85588"/>
    <w:pPr>
      <w:suppressAutoHyphens w:val="false"/>
      <w:spacing w:beforeAutospacing="1" w:afterAutospacing="1"/>
    </w:pPr>
    <w:rPr>
      <w:lang w:eastAsia="pt-BR"/>
    </w:rPr>
  </w:style>
  <w:style w:type="paragraph" w:styleId="BalloonText">
    <w:name w:val="Balloon Text"/>
    <w:basedOn w:val="Normal"/>
    <w:link w:val="TextodebaloChar"/>
    <w:qFormat/>
    <w:rsid w:val="005a5b0e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e13b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6e13b0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Taxa de ocupacao mensal 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180</c:v>
                </c:pt>
                <c:pt idx="1">
                  <c:v>84</c:v>
                </c:pt>
                <c:pt idx="2">
                  <c:v>88</c:v>
                </c:pt>
                <c:pt idx="3">
                  <c:v>182</c:v>
                </c:pt>
                <c:pt idx="4">
                  <c:v>44</c:v>
                </c:pt>
                <c:pt idx="5">
                  <c:v>113</c:v>
                </c:pt>
                <c:pt idx="6">
                  <c:v>81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Internacoes mensais</c:v>
                </c:pt>
              </c:strCache>
            </c:strRef>
          </c:tx>
          <c:spPr>
            <a:solidFill>
              <a:srgbClr val="ff420e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126</c:v>
                </c:pt>
                <c:pt idx="1">
                  <c:v>47</c:v>
                </c:pt>
                <c:pt idx="2">
                  <c:v>159</c:v>
                </c:pt>
                <c:pt idx="3">
                  <c:v>51</c:v>
                </c:pt>
                <c:pt idx="4">
                  <c:v>36</c:v>
                </c:pt>
                <c:pt idx="5">
                  <c:v>58</c:v>
                </c:pt>
                <c:pt idx="6">
                  <c:v>17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Paciente por dia</c:v>
                </c:pt>
              </c:strCache>
            </c:strRef>
          </c:tx>
          <c:spPr>
            <a:solidFill>
              <a:srgbClr val="ffd320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542</c:v>
                </c:pt>
                <c:pt idx="1">
                  <c:v>504</c:v>
                </c:pt>
                <c:pt idx="2">
                  <c:v>265</c:v>
                </c:pt>
                <c:pt idx="3">
                  <c:v>164</c:v>
                </c:pt>
                <c:pt idx="4">
                  <c:v>53</c:v>
                </c:pt>
                <c:pt idx="5">
                  <c:v>615</c:v>
                </c:pt>
                <c:pt idx="6">
                  <c:v>244</c:v>
                </c:pt>
              </c:numCache>
            </c:numRef>
          </c:val>
        </c:ser>
        <c:gapWidth val="100"/>
        <c:overlap val="0"/>
        <c:axId val="75045126"/>
        <c:axId val="26222777"/>
      </c:barChart>
      <c:catAx>
        <c:axId val="75045126"/>
        <c:scaling>
          <c:orientation val="minMax"/>
        </c:scaling>
        <c:delete val="0"/>
        <c:axPos val="b"/>
        <c:numFmt formatCode="[$-416]dd/mm/yyyy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26222777"/>
        <c:crosses val="autoZero"/>
        <c:auto val="1"/>
        <c:lblAlgn val="ctr"/>
        <c:lblOffset val="100"/>
        <c:noMultiLvlLbl val="0"/>
      </c:catAx>
      <c:valAx>
        <c:axId val="26222777"/>
        <c:scaling>
          <c:orientation val="minMax"/>
        </c:scaling>
        <c:delete val="0"/>
        <c:axPos val="l"/>
        <c:majorGridlines>
          <c:spPr>
            <a:ln w="0"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75045126"/>
        <c:crosses val="autoZero"/>
        <c:crossBetween val="between"/>
      </c:valAx>
      <c:spPr>
        <a:noFill/>
        <a:ln w="0">
          <a:solidFill>
            <a:srgbClr val="b3b3b3"/>
          </a:solidFill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 w="0"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Taxa de ocupacao 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156.66</c:v>
                </c:pt>
                <c:pt idx="1">
                  <c:v>83.5</c:v>
                </c:pt>
                <c:pt idx="2">
                  <c:v>88.66</c:v>
                </c:pt>
                <c:pt idx="3">
                  <c:v>153.33</c:v>
                </c:pt>
                <c:pt idx="4">
                  <c:v>40.83</c:v>
                </c:pt>
                <c:pt idx="5">
                  <c:v>100.37</c:v>
                </c:pt>
                <c:pt idx="6">
                  <c:v>85.66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Internacoes mensais </c:v>
                </c:pt>
              </c:strCache>
            </c:strRef>
          </c:tx>
          <c:spPr>
            <a:solidFill>
              <a:srgbClr val="ff420e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104</c:v>
                </c:pt>
                <c:pt idx="1">
                  <c:v>44</c:v>
                </c:pt>
                <c:pt idx="2">
                  <c:v>141</c:v>
                </c:pt>
                <c:pt idx="3">
                  <c:v>23</c:v>
                </c:pt>
                <c:pt idx="4">
                  <c:v>34</c:v>
                </c:pt>
                <c:pt idx="5">
                  <c:v>68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Paciente por dia</c:v>
                </c:pt>
              </c:strCache>
            </c:strRef>
          </c:tx>
          <c:spPr>
            <a:solidFill>
              <a:srgbClr val="ffd320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470</c:v>
                </c:pt>
                <c:pt idx="1">
                  <c:v>501</c:v>
                </c:pt>
                <c:pt idx="2">
                  <c:v>266</c:v>
                </c:pt>
                <c:pt idx="3">
                  <c:v>138</c:v>
                </c:pt>
                <c:pt idx="4">
                  <c:v>49</c:v>
                </c:pt>
                <c:pt idx="5">
                  <c:v>542</c:v>
                </c:pt>
                <c:pt idx="6">
                  <c:v>257</c:v>
                </c:pt>
              </c:numCache>
            </c:numRef>
          </c:val>
        </c:ser>
        <c:gapWidth val="100"/>
        <c:overlap val="0"/>
        <c:axId val="43733253"/>
        <c:axId val="35106249"/>
      </c:barChart>
      <c:catAx>
        <c:axId val="43733253"/>
        <c:scaling>
          <c:orientation val="minMax"/>
        </c:scaling>
        <c:delete val="0"/>
        <c:axPos val="b"/>
        <c:numFmt formatCode="[$-416]dd/mm/yyyy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35106249"/>
        <c:crosses val="autoZero"/>
        <c:auto val="1"/>
        <c:lblAlgn val="ctr"/>
        <c:lblOffset val="100"/>
        <c:noMultiLvlLbl val="0"/>
      </c:catAx>
      <c:valAx>
        <c:axId val="35106249"/>
        <c:scaling>
          <c:orientation val="minMax"/>
        </c:scaling>
        <c:delete val="0"/>
        <c:axPos val="l"/>
        <c:majorGridlines>
          <c:spPr>
            <a:ln w="0"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43733253"/>
        <c:crosses val="autoZero"/>
        <c:crossBetween val="between"/>
      </c:valAx>
      <c:spPr>
        <a:noFill/>
        <a:ln w="0">
          <a:solidFill>
            <a:srgbClr val="b3b3b3"/>
          </a:solidFill>
        </a:ln>
      </c:spPr>
    </c:plotArea>
    <c:legend>
      <c:legendPos val="r"/>
      <c:layout>
        <c:manualLayout>
          <c:xMode val="edge"/>
          <c:yMode val="edge"/>
          <c:x val="0.7460625"/>
          <c:y val="0.411111111111111"/>
          <c:w val="0.253828364272767"/>
          <c:h val="0.176908545393933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 w="0"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Taxa de ocupacao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134.33</c:v>
                </c:pt>
                <c:pt idx="1">
                  <c:v>94.16</c:v>
                </c:pt>
                <c:pt idx="2">
                  <c:v>80.33</c:v>
                </c:pt>
                <c:pt idx="3">
                  <c:v>165.55</c:v>
                </c:pt>
                <c:pt idx="4">
                  <c:v>48.33</c:v>
                </c:pt>
                <c:pt idx="5">
                  <c:v>73</c:v>
                </c:pt>
                <c:pt idx="6">
                  <c:v>118.7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Internacoes mensais</c:v>
                </c:pt>
              </c:strCache>
            </c:strRef>
          </c:tx>
          <c:spPr>
            <a:solidFill>
              <a:srgbClr val="ff420e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100</c:v>
                </c:pt>
                <c:pt idx="1">
                  <c:v>15</c:v>
                </c:pt>
                <c:pt idx="2">
                  <c:v>143</c:v>
                </c:pt>
                <c:pt idx="3">
                  <c:v>45</c:v>
                </c:pt>
                <c:pt idx="4">
                  <c:v>30</c:v>
                </c:pt>
                <c:pt idx="5">
                  <c:v>55</c:v>
                </c:pt>
                <c:pt idx="6">
                  <c:v>15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Paciente por dia</c:v>
                </c:pt>
              </c:strCache>
            </c:strRef>
          </c:tx>
          <c:spPr>
            <a:solidFill>
              <a:srgbClr val="ffd320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  <c:pt idx="5">
                  <c:v/>
                </c:pt>
                <c:pt idx="6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403</c:v>
                </c:pt>
                <c:pt idx="1">
                  <c:v>565</c:v>
                </c:pt>
                <c:pt idx="2">
                  <c:v>241</c:v>
                </c:pt>
                <c:pt idx="3">
                  <c:v>149</c:v>
                </c:pt>
                <c:pt idx="4">
                  <c:v>58</c:v>
                </c:pt>
                <c:pt idx="5">
                  <c:v>641</c:v>
                </c:pt>
                <c:pt idx="6">
                  <c:v>219</c:v>
                </c:pt>
              </c:numCache>
            </c:numRef>
          </c:val>
        </c:ser>
        <c:gapWidth val="100"/>
        <c:overlap val="0"/>
        <c:axId val="88155269"/>
        <c:axId val="95395113"/>
      </c:barChart>
      <c:catAx>
        <c:axId val="88155269"/>
        <c:scaling>
          <c:orientation val="minMax"/>
        </c:scaling>
        <c:delete val="0"/>
        <c:axPos val="b"/>
        <c:numFmt formatCode="[$-416]dd/mm/yyyy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95395113"/>
        <c:crosses val="autoZero"/>
        <c:auto val="1"/>
        <c:lblAlgn val="ctr"/>
        <c:lblOffset val="100"/>
        <c:noMultiLvlLbl val="0"/>
      </c:catAx>
      <c:valAx>
        <c:axId val="95395113"/>
        <c:scaling>
          <c:orientation val="minMax"/>
        </c:scaling>
        <c:delete val="0"/>
        <c:axPos val="l"/>
        <c:majorGridlines>
          <c:spPr>
            <a:ln w="0"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88155269"/>
        <c:crosses val="autoZero"/>
        <c:crossBetween val="between"/>
      </c:valAx>
      <c:spPr>
        <a:noFill/>
        <a:ln w="0">
          <a:solidFill>
            <a:srgbClr val="b3b3b3"/>
          </a:solidFill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 w="0"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Taxa de ocupação 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>Clinica Cirurgica </c:v>
                </c:pt>
                <c:pt idx="1">
                  <c:v>Clinica Medica</c:v>
                </c:pt>
                <c:pt idx="2">
                  <c:v>Maternidade</c:v>
                </c:pt>
                <c:pt idx="3">
                  <c:v>Pediatria</c:v>
                </c:pt>
                <c:pt idx="4">
                  <c:v>P.S. e Sala Vermelha</c:v>
                </c:pt>
                <c:pt idx="5">
                  <c:v>UTI Adulto</c:v>
                </c:pt>
                <c:pt idx="6">
                  <c:v>UTI Neonatal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165</c:v>
                </c:pt>
                <c:pt idx="1">
                  <c:v>90</c:v>
                </c:pt>
                <c:pt idx="2">
                  <c:v>87</c:v>
                </c:pt>
                <c:pt idx="3">
                  <c:v>117</c:v>
                </c:pt>
                <c:pt idx="4">
                  <c:v>40</c:v>
                </c:pt>
                <c:pt idx="5">
                  <c:v>120</c:v>
                </c:pt>
                <c:pt idx="6">
                  <c:v>79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Internações mensais</c:v>
                </c:pt>
              </c:strCache>
            </c:strRef>
          </c:tx>
          <c:spPr>
            <a:solidFill>
              <a:srgbClr val="ff420e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>Clinica Cirurgica </c:v>
                </c:pt>
                <c:pt idx="1">
                  <c:v>Clinica Medica</c:v>
                </c:pt>
                <c:pt idx="2">
                  <c:v>Maternidade</c:v>
                </c:pt>
                <c:pt idx="3">
                  <c:v>Pediatria</c:v>
                </c:pt>
                <c:pt idx="4">
                  <c:v>P.S. e Sala Vermelha</c:v>
                </c:pt>
                <c:pt idx="5">
                  <c:v>UTI Adulto</c:v>
                </c:pt>
                <c:pt idx="6">
                  <c:v>UTI Neonatal 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91</c:v>
                </c:pt>
                <c:pt idx="1">
                  <c:v>47</c:v>
                </c:pt>
                <c:pt idx="2">
                  <c:v>137</c:v>
                </c:pt>
                <c:pt idx="3">
                  <c:v>29</c:v>
                </c:pt>
                <c:pt idx="4">
                  <c:v>34</c:v>
                </c:pt>
                <c:pt idx="5">
                  <c:v>69</c:v>
                </c:pt>
                <c:pt idx="6">
                  <c:v>12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Paciente por dia</c:v>
                </c:pt>
              </c:strCache>
            </c:strRef>
          </c:tx>
          <c:spPr>
            <a:solidFill>
              <a:srgbClr val="ffd320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>Clinica Cirurgica </c:v>
                </c:pt>
                <c:pt idx="1">
                  <c:v>Clinica Medica</c:v>
                </c:pt>
                <c:pt idx="2">
                  <c:v>Maternidade</c:v>
                </c:pt>
                <c:pt idx="3">
                  <c:v>Pediatria</c:v>
                </c:pt>
                <c:pt idx="4">
                  <c:v>P.S. e Sala Vermelha</c:v>
                </c:pt>
                <c:pt idx="5">
                  <c:v>UTI Adulto</c:v>
                </c:pt>
                <c:pt idx="6">
                  <c:v>UTI Neonatal 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495</c:v>
                </c:pt>
                <c:pt idx="1">
                  <c:v>542</c:v>
                </c:pt>
                <c:pt idx="2">
                  <c:v>261</c:v>
                </c:pt>
                <c:pt idx="3">
                  <c:v>106</c:v>
                </c:pt>
                <c:pt idx="4">
                  <c:v>48</c:v>
                </c:pt>
                <c:pt idx="5">
                  <c:v>648</c:v>
                </c:pt>
                <c:pt idx="6">
                  <c:v>237</c:v>
                </c:pt>
              </c:numCache>
            </c:numRef>
          </c:val>
        </c:ser>
        <c:gapWidth val="100"/>
        <c:overlap val="0"/>
        <c:axId val="76692384"/>
        <c:axId val="64957534"/>
      </c:barChart>
      <c:catAx>
        <c:axId val="76692384"/>
        <c:scaling>
          <c:orientation val="minMax"/>
        </c:scaling>
        <c:delete val="0"/>
        <c:axPos val="b"/>
        <c:numFmt formatCode="[$-416]dd/mm/yyyy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64957534"/>
        <c:crosses val="autoZero"/>
        <c:auto val="1"/>
        <c:lblAlgn val="ctr"/>
        <c:lblOffset val="100"/>
        <c:noMultiLvlLbl val="0"/>
      </c:catAx>
      <c:valAx>
        <c:axId val="64957534"/>
        <c:scaling>
          <c:orientation val="minMax"/>
        </c:scaling>
        <c:delete val="0"/>
        <c:axPos val="l"/>
        <c:majorGridlines>
          <c:spPr>
            <a:ln w="0"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76692384"/>
        <c:crosses val="autoZero"/>
        <c:crossBetween val="between"/>
      </c:valAx>
      <c:spPr>
        <a:noFill/>
        <a:ln w="0">
          <a:solidFill>
            <a:srgbClr val="b3b3b3"/>
          </a:solidFill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 w="0">
      <a:noFill/>
    </a:ln>
  </c:spPr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Application>LibreOffice/7.5.2.2$Windows_X86_64 LibreOffice_project/53bb9681a964705cf672590721dbc85eb4d0c3a2</Application>
  <AppVersion>15.0000</AppVersion>
  <Pages>8</Pages>
  <Words>790</Words>
  <Characters>3839</Characters>
  <CharactersWithSpaces>4856</CharactersWithSpaces>
  <Paragraphs>173</Paragraphs>
  <Company>Santa Casa de Caridade de Formiga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2021-05-06T16:52:00Z</dcterms:created>
  <dc:creator>marketing</dc:creator>
  <dc:description/>
  <dc:language>pt-BR</dc:language>
  <cp:lastModifiedBy/>
  <cp:lastPrinted>2023-03-09T15:03:00Z</cp:lastPrinted>
  <dcterms:modified xsi:type="dcterms:W3CDTF">2023-07-03T16:41:45Z</dcterms:modified>
  <cp:revision>21</cp:revision>
  <dc:subject/>
  <dc:title>Formiga (MG), 29 de julho de 2010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